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657" w:rsidRDefault="00F053D1">
      <w:pPr>
        <w:keepNext/>
        <w:keepLines/>
        <w:tabs>
          <w:tab w:val="left" w:pos="0"/>
        </w:tabs>
        <w:spacing w:after="0" w:line="240" w:lineRule="auto"/>
        <w:ind w:left="1040" w:hanging="1040"/>
        <w:outlineLvl w:val="1"/>
        <w:rPr>
          <w:rFonts w:ascii="Arial" w:eastAsia="Arial" w:hAnsi="Arial" w:cs="Arial"/>
          <w:b/>
          <w:color w:val="000000"/>
          <w:lang w:val="de-DE" w:eastAsia="de-DE" w:bidi="de-DE"/>
        </w:rPr>
      </w:pPr>
      <w:bookmarkStart w:id="0" w:name="_GoBack"/>
      <w:bookmarkEnd w:id="0"/>
      <w:r>
        <w:rPr>
          <w:rFonts w:ascii="Arial" w:hAnsi="Arial"/>
          <w:b/>
          <w:lang w:val="de-DE" w:eastAsia="de-DE" w:bidi="de-DE"/>
        </w:rPr>
        <w:t>1</w:t>
      </w:r>
      <w:r>
        <w:rPr>
          <w:rFonts w:ascii="Arial" w:hAnsi="Arial"/>
          <w:b/>
          <w:lang w:val="de-DE" w:eastAsia="de-DE" w:bidi="de-DE"/>
        </w:rPr>
        <w:tab/>
        <w:t>Merkliste vom 25.09.2024</w:t>
      </w:r>
    </w:p>
    <w:p w:rsidR="00A55657" w:rsidRDefault="00F053D1">
      <w:pPr>
        <w:keepNext/>
        <w:keepLines/>
        <w:tabs>
          <w:tab w:val="left" w:pos="0"/>
        </w:tabs>
        <w:spacing w:after="0" w:line="240" w:lineRule="auto"/>
        <w:ind w:left="1040" w:hanging="1040"/>
        <w:outlineLvl w:val="2"/>
        <w:rPr>
          <w:rFonts w:ascii="Arial" w:eastAsia="Arial" w:hAnsi="Arial" w:cs="Arial"/>
          <w:b/>
          <w:color w:val="000000"/>
          <w:sz w:val="20"/>
          <w:lang w:val="de-DE" w:eastAsia="de-DE" w:bidi="de-DE"/>
        </w:rPr>
      </w:pPr>
      <w:r>
        <w:rPr>
          <w:rFonts w:ascii="Arial" w:hAnsi="Arial"/>
          <w:b/>
          <w:sz w:val="18"/>
          <w:lang w:val="de-DE" w:eastAsia="de-DE" w:bidi="de-DE"/>
        </w:rPr>
        <w:t>1.1</w:t>
      </w:r>
      <w:r>
        <w:rPr>
          <w:rFonts w:ascii="Arial" w:hAnsi="Arial"/>
          <w:b/>
          <w:sz w:val="18"/>
          <w:lang w:val="de-DE" w:eastAsia="de-DE" w:bidi="de-DE"/>
        </w:rPr>
        <w:tab/>
        <w:t>Peneder Bau-Elemente AT-DE</w:t>
      </w:r>
    </w:p>
    <w:p w:rsidR="00A55657" w:rsidRDefault="00F053D1">
      <w:pPr>
        <w:keepNext/>
        <w:keepLines/>
        <w:tabs>
          <w:tab w:val="left" w:pos="0"/>
        </w:tabs>
        <w:spacing w:after="0" w:line="240" w:lineRule="auto"/>
        <w:ind w:left="1040" w:hanging="1040"/>
        <w:outlineLvl w:val="3"/>
        <w:rPr>
          <w:rFonts w:ascii="Arial" w:eastAsia="Arial" w:hAnsi="Arial" w:cs="Arial"/>
          <w:b/>
          <w:color w:val="000000"/>
          <w:sz w:val="20"/>
          <w:lang w:val="de-DE" w:eastAsia="de-DE" w:bidi="de-DE"/>
        </w:rPr>
      </w:pPr>
      <w:r>
        <w:rPr>
          <w:rFonts w:ascii="Arial" w:hAnsi="Arial"/>
          <w:b/>
          <w:sz w:val="18"/>
          <w:lang w:val="de-DE" w:eastAsia="de-DE" w:bidi="de-DE"/>
        </w:rPr>
        <w:t>1.1.1</w:t>
      </w:r>
      <w:r>
        <w:rPr>
          <w:rFonts w:ascii="Arial" w:hAnsi="Arial"/>
          <w:b/>
          <w:sz w:val="18"/>
          <w:lang w:val="de-DE" w:eastAsia="de-DE" w:bidi="de-DE"/>
        </w:rPr>
        <w:tab/>
        <w:t>Textiler Brandschutz EW90-C, Abstand Behang-Flügel &gt;140mm</w:t>
      </w:r>
    </w:p>
    <w:p w:rsidR="00A55657" w:rsidRDefault="00F053D1">
      <w:pPr>
        <w:keepNext/>
        <w:keepLines/>
        <w:spacing w:before="100" w:after="100" w:line="240" w:lineRule="auto"/>
        <w:ind w:left="1040"/>
        <w:rPr>
          <w:rFonts w:ascii="Arial" w:eastAsia="Arial" w:hAnsi="Arial" w:cs="Arial"/>
          <w:color w:val="000000"/>
          <w:sz w:val="20"/>
          <w:lang w:val="de-DE" w:eastAsia="de-DE" w:bidi="de-DE"/>
        </w:rPr>
      </w:pPr>
      <w:r>
        <w:rPr>
          <w:noProof/>
        </w:rPr>
        <w:drawing>
          <wp:inline distT="0" distB="0" distL="0" distR="0">
            <wp:extent cx="952500" cy="6381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blip>
                    <a:stretch>
                      <a:fillRect/>
                    </a:stretch>
                  </pic:blipFill>
                  <pic:spPr>
                    <a:xfrm>
                      <a:off x="0" y="0"/>
                      <a:ext cx="952500" cy="638175"/>
                    </a:xfrm>
                    <a:prstGeom prst="rect">
                      <a:avLst/>
                    </a:prstGeom>
                  </pic:spPr>
                </pic:pic>
              </a:graphicData>
            </a:graphic>
          </wp:inline>
        </w:drawing>
      </w:r>
      <w:r>
        <w:rPr>
          <w:rFonts w:ascii="Arial" w:hAnsi="Arial"/>
          <w:sz w:val="20"/>
          <w:lang w:val="de-DE" w:eastAsia="de-DE" w:bidi="de-DE"/>
        </w:rPr>
        <w:t xml:space="preserve">   </w:t>
      </w:r>
    </w:p>
    <w:p w:rsidR="00A55657" w:rsidRDefault="00F053D1">
      <w:pPr>
        <w:keepNext/>
        <w:keepLines/>
        <w:spacing w:after="0" w:line="240" w:lineRule="auto"/>
        <w:ind w:left="1040" w:right="4000"/>
        <w:rPr>
          <w:rFonts w:ascii="Arial" w:eastAsia="Arial" w:hAnsi="Arial" w:cs="Arial"/>
          <w:b/>
          <w:color w:val="000000"/>
          <w:sz w:val="20"/>
          <w:lang w:val="de-DE" w:eastAsia="de-DE" w:bidi="de-DE"/>
        </w:rPr>
      </w:pPr>
      <w:r>
        <w:rPr>
          <w:rFonts w:ascii="Arial" w:hAnsi="Arial"/>
          <w:b/>
          <w:sz w:val="20"/>
          <w:lang w:val="de-DE" w:eastAsia="de-DE" w:bidi="de-DE"/>
        </w:rPr>
        <w:t>Textiler Feuerschutzabschluss 90 Minuten mit Strahlungsreduktion, gesetzt vor der Lifttüre mit Abstand &gt;140mm, ausgeführt mit Selbstrettungsfunktion bei Einschluss</w:t>
      </w:r>
    </w:p>
    <w:p w:rsidR="00A55657" w:rsidRDefault="00F053D1">
      <w:pPr>
        <w:keepNext/>
        <w:keepLines/>
        <w:spacing w:after="0" w:line="240" w:lineRule="auto"/>
        <w:ind w:left="1040" w:right="4000"/>
        <w:rPr>
          <w:rFonts w:ascii="Arial" w:eastAsia="Arial" w:hAnsi="Arial" w:cs="Arial"/>
          <w:b/>
          <w:color w:val="000000"/>
          <w:sz w:val="20"/>
          <w:lang w:val="de-DE" w:eastAsia="de-DE" w:bidi="de-DE"/>
        </w:rPr>
      </w:pPr>
      <w:r>
        <w:rPr>
          <w:rFonts w:ascii="Arial" w:hAnsi="Arial"/>
          <w:b/>
          <w:sz w:val="20"/>
          <w:lang w:val="de-DE" w:eastAsia="de-DE" w:bidi="de-DE"/>
        </w:rPr>
        <w:t> </w:t>
      </w:r>
    </w:p>
    <w:p w:rsidR="00A55657" w:rsidRDefault="00F053D1">
      <w:pPr>
        <w:keepNext/>
        <w:keepLines/>
        <w:spacing w:after="0" w:line="240" w:lineRule="auto"/>
        <w:ind w:left="1040" w:right="4000"/>
        <w:rPr>
          <w:rFonts w:ascii="Arial" w:eastAsia="Arial" w:hAnsi="Arial" w:cs="Arial"/>
          <w:b/>
          <w:color w:val="000000"/>
          <w:sz w:val="20"/>
          <w:lang w:val="de-DE" w:eastAsia="de-DE" w:bidi="de-DE"/>
        </w:rPr>
      </w:pPr>
      <w:r>
        <w:rPr>
          <w:rFonts w:ascii="Arial" w:hAnsi="Arial"/>
          <w:b/>
          <w:sz w:val="20"/>
          <w:lang w:val="de-DE" w:eastAsia="de-DE" w:bidi="de-DE"/>
        </w:rPr>
        <w:t>Allgemeine Konstruktionsbeschreibung:</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Nicht brennbares, beschichtetes Gewebe der Klasse A2</w:t>
      </w:r>
      <w:r>
        <w:rPr>
          <w:rFonts w:ascii="Arial" w:hAnsi="Arial"/>
          <w:sz w:val="20"/>
          <w:lang w:val="de-DE" w:eastAsia="de-DE" w:bidi="de-DE"/>
        </w:rPr>
        <w:t>. Schließrichtungen vertikal, Einbaulage für Wand Systembreiten bis 12 m, Ablauflängen bis 2,2 m. Gewicht: ca. 25-40 kg/lfm Öffnungsbreite. Der Rahmen besteht aus Führungsschiene, Gehäuse und Abschlussleisten aus verzinktem und pulverbeschichtetem Stahlble</w:t>
      </w:r>
      <w:r>
        <w:rPr>
          <w:rFonts w:ascii="Arial" w:hAnsi="Arial"/>
          <w:sz w:val="20"/>
          <w:lang w:val="de-DE" w:eastAsia="de-DE" w:bidi="de-DE"/>
        </w:rPr>
        <w:t>ch. Direkte Deckenmontage in Aussparung der Leibung, seitliche Führungsschienen Nischenmontage einsetzbar.</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Öffnung durch Antrieb, Schließung durch Eigengewicht - "gravity fail safe"-Antriebsanschluss 230 V Mikroprozessor gesteuerte Motorsteuerung zur Anste</w:t>
      </w:r>
      <w:r>
        <w:rPr>
          <w:rFonts w:ascii="Arial" w:hAnsi="Arial"/>
          <w:sz w:val="20"/>
          <w:lang w:val="de-DE" w:eastAsia="de-DE" w:bidi="de-DE"/>
        </w:rPr>
        <w:t>uerung von 230VAC Rohrmotoren mit interner Feststelleinrichtung. Auswertung der Endschalter OFFEN und GESCHLOSSEN im Motor mit Überlastschutz</w:t>
      </w:r>
      <w:r>
        <w:rPr>
          <w:rFonts w:ascii="Arial" w:hAnsi="Arial"/>
          <w:sz w:val="20"/>
          <w:lang w:val="de-DE" w:eastAsia="de-DE" w:bidi="de-DE"/>
        </w:rPr>
        <w:br/>
        <w:t xml:space="preserve">Selbstständige Regelung der Schließgeschwindigkeit mittels Fliehkraftkupplung. Interne 24V Versorgung, bei kurzem </w:t>
      </w:r>
      <w:r>
        <w:rPr>
          <w:rFonts w:ascii="Arial" w:hAnsi="Arial"/>
          <w:sz w:val="20"/>
          <w:lang w:val="de-DE" w:eastAsia="de-DE" w:bidi="de-DE"/>
        </w:rPr>
        <w:t>Netzeinbruch (bis 3 Sekunden) kein Auslassen des Systems. Manuelles Öffnen und Schließen für Testzwecke, Optische Statusanzeige. Anschlussmöglichkeiten an der Steuerung für folgende Aufzahlungsmöglichkeiten: Handtaster, Lichtschranke, Sicherheitskontaktlei</w:t>
      </w:r>
      <w:r>
        <w:rPr>
          <w:rFonts w:ascii="Arial" w:hAnsi="Arial"/>
          <w:sz w:val="20"/>
          <w:lang w:val="de-DE" w:eastAsia="de-DE" w:bidi="de-DE"/>
        </w:rPr>
        <w:t>ste, Sirene, Blitzleuchte, Schlüsseltaster für ein Öffnen im Alarmfall, USV-Anlage oder Akkupufferung, zugelassene Feststellanlage.</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b/>
          <w:sz w:val="20"/>
          <w:lang w:val="de-DE" w:eastAsia="de-DE" w:bidi="de-DE"/>
        </w:rPr>
        <w:t>Bedienung</w:t>
      </w:r>
      <w:r>
        <w:rPr>
          <w:rFonts w:ascii="Arial" w:hAnsi="Arial"/>
          <w:sz w:val="20"/>
          <w:lang w:val="de-DE" w:eastAsia="de-DE" w:bidi="de-DE"/>
        </w:rPr>
        <w:t>: Im geöffneten Zustand befindet sich die Wickelwelle in einem Gehäuse aus verzinktem und RAL nach Wahl pulverbes</w:t>
      </w:r>
      <w:r>
        <w:rPr>
          <w:rFonts w:ascii="Arial" w:hAnsi="Arial"/>
          <w:sz w:val="20"/>
          <w:lang w:val="de-DE" w:eastAsia="de-DE" w:bidi="de-DE"/>
        </w:rPr>
        <w:t>chichtetem Stahlblech, oberhalb der zu verschließenden Öffnung. Die Wickelwelle wird durch einen Haftmagneten in geöffneter Position gehalten. Mittels einer Abschlussschiene wird das System über Eigengewicht nach dem "Gravity Fail Safe"-Prinzip geschwindig</w:t>
      </w:r>
      <w:r>
        <w:rPr>
          <w:rFonts w:ascii="Arial" w:hAnsi="Arial"/>
          <w:sz w:val="20"/>
          <w:lang w:val="de-DE" w:eastAsia="de-DE" w:bidi="de-DE"/>
        </w:rPr>
        <w:t>keitsgeregelt geschlossen.</w:t>
      </w:r>
    </w:p>
    <w:p w:rsidR="00A55657" w:rsidRDefault="00F053D1">
      <w:pPr>
        <w:keepNext/>
        <w:keepLines/>
        <w:spacing w:after="0" w:line="240" w:lineRule="auto"/>
        <w:ind w:left="1040" w:right="4000"/>
        <w:rPr>
          <w:rFonts w:ascii="Arial" w:eastAsia="Arial" w:hAnsi="Arial" w:cs="Arial"/>
          <w:b/>
          <w:color w:val="000000"/>
          <w:sz w:val="20"/>
          <w:lang w:val="de-DE" w:eastAsia="de-DE" w:bidi="de-DE"/>
        </w:rPr>
      </w:pPr>
      <w:r>
        <w:rPr>
          <w:rFonts w:ascii="Arial" w:hAnsi="Arial"/>
          <w:b/>
          <w:sz w:val="20"/>
          <w:lang w:val="de-DE" w:eastAsia="de-DE" w:bidi="de-DE"/>
        </w:rPr>
        <w:t> </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Die automatisch wirkende, in den Führungsschienen verbaute Behangspanneinrichtung sorgt für ein ebenmässiges Aufrollen des Textilbehanges sowie Windlastausgleich bei abgelassenen Behang.</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lastRenderedPageBreak/>
        <w:t>Durch den Aufbau des textilen Feuersch</w:t>
      </w:r>
      <w:r>
        <w:rPr>
          <w:rFonts w:ascii="Arial" w:hAnsi="Arial"/>
          <w:sz w:val="20"/>
          <w:lang w:val="de-DE" w:eastAsia="de-DE" w:bidi="de-DE"/>
        </w:rPr>
        <w:t>utzgewebes ist eine Reduktion der nach Norm zulässigen Wärmestrahlungswerte im Durchgang um 85-90% je Zeithorizont gewährleistet. Dadurch steigt die Sicherheit für Umgebung und im notfall flüchtende Personen exponentiell da sich der Gefahrenbereich der Str</w:t>
      </w:r>
      <w:r>
        <w:rPr>
          <w:rFonts w:ascii="Arial" w:hAnsi="Arial"/>
          <w:sz w:val="20"/>
          <w:lang w:val="de-DE" w:eastAsia="de-DE" w:bidi="de-DE"/>
        </w:rPr>
        <w:t>ahlung im Abstand um bis zu 50% reduziert.</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b/>
          <w:sz w:val="20"/>
          <w:lang w:val="de-DE" w:eastAsia="de-DE" w:bidi="de-DE"/>
        </w:rPr>
        <w:t>Bedienung</w:t>
      </w:r>
      <w:r>
        <w:rPr>
          <w:rFonts w:ascii="Arial" w:hAnsi="Arial"/>
          <w:sz w:val="20"/>
          <w:lang w:val="de-DE" w:eastAsia="de-DE" w:bidi="de-DE"/>
        </w:rPr>
        <w:t>: Im geöffneten Zustand befindet sich die Wickelwelle in einem Gehäuse aus verzinktem Stahlblech, oberhalb der zu verschließenden Öffnung. Die Wickelwelle wird durch einen Haftmagneten in geöffneter Pos</w:t>
      </w:r>
      <w:r>
        <w:rPr>
          <w:rFonts w:ascii="Arial" w:hAnsi="Arial"/>
          <w:sz w:val="20"/>
          <w:lang w:val="de-DE" w:eastAsia="de-DE" w:bidi="de-DE"/>
        </w:rPr>
        <w:t>ition gehalten. Mittels einer Abschlussschiene wird das System über Eigengewicht nach dem "Gravity Fail Safe"-Prinzip geschwindigkeitsgeregelt geschlossen.</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Die automatisch wirkende, in den Führungsschienen verbaute Behangspanneinrichtung sorgt für ein ebenmäßiges Aufrollen des Textilbehanges sowie Windlastausgleich bei abgelassenen Behang.</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Die Führungsschienen des textilen Feuerschutzvorhanges werden abgese</w:t>
      </w:r>
      <w:r>
        <w:rPr>
          <w:rFonts w:ascii="Arial" w:hAnsi="Arial"/>
          <w:sz w:val="20"/>
          <w:lang w:val="de-DE" w:eastAsia="de-DE" w:bidi="de-DE"/>
        </w:rPr>
        <w:t>tzt zum Aufzugsportal geführt wodurch eine Standfläche &gt;140mm ("Raum") zwischen den geschlossenen Systemen von Aufzug und Brandschutz entsteht. Es sind Vorkehrungen gegen Einschluss vorzusehen.</w:t>
      </w:r>
    </w:p>
    <w:p w:rsidR="00A55657" w:rsidRDefault="00F053D1">
      <w:pPr>
        <w:keepNext/>
        <w:keepLines/>
        <w:spacing w:after="0" w:line="240" w:lineRule="auto"/>
        <w:ind w:left="1040" w:right="4000"/>
        <w:rPr>
          <w:rFonts w:ascii="Arial" w:eastAsia="Arial" w:hAnsi="Arial" w:cs="Arial"/>
          <w:b/>
          <w:color w:val="000000"/>
          <w:sz w:val="20"/>
          <w:lang w:val="de-DE" w:eastAsia="de-DE" w:bidi="de-DE"/>
        </w:rPr>
      </w:pPr>
      <w:r>
        <w:rPr>
          <w:rFonts w:ascii="Arial" w:hAnsi="Arial"/>
          <w:b/>
          <w:sz w:val="20"/>
          <w:lang w:val="de-DE" w:eastAsia="de-DE" w:bidi="de-DE"/>
        </w:rPr>
        <w:t> </w:t>
      </w:r>
    </w:p>
    <w:p w:rsidR="00A55657" w:rsidRDefault="00F053D1">
      <w:pPr>
        <w:keepNext/>
        <w:keepLines/>
        <w:spacing w:after="0" w:line="240" w:lineRule="auto"/>
        <w:ind w:left="1040" w:right="4000"/>
        <w:rPr>
          <w:rFonts w:ascii="Arial" w:eastAsia="Arial" w:hAnsi="Arial" w:cs="Arial"/>
          <w:b/>
          <w:color w:val="000000"/>
          <w:sz w:val="20"/>
          <w:lang w:val="de-DE" w:eastAsia="de-DE" w:bidi="de-DE"/>
        </w:rPr>
      </w:pPr>
      <w:r>
        <w:rPr>
          <w:rFonts w:ascii="Arial" w:hAnsi="Arial"/>
          <w:b/>
          <w:sz w:val="20"/>
          <w:lang w:val="de-DE" w:eastAsia="de-DE" w:bidi="de-DE"/>
        </w:rPr>
        <w:t>Not-Auf zur Selbstrettung (Genehmigung Baubehörde):</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In der L</w:t>
      </w:r>
      <w:r>
        <w:rPr>
          <w:rFonts w:ascii="Arial" w:hAnsi="Arial"/>
          <w:sz w:val="20"/>
          <w:lang w:val="de-DE" w:eastAsia="de-DE" w:bidi="de-DE"/>
        </w:rPr>
        <w:t>eibung zwischen Aufzugstüre und Brandschutzvorhang wird ein Not-Auf-Taster in jeweils landestypisch zugelassener Ausführung und Optik verbaut. Dieser sichert im Fall eines Einschlusses zwischen geschlossenem Aufzug in Brandfallmodus sowie herabfahrenden bz</w:t>
      </w:r>
      <w:r>
        <w:rPr>
          <w:rFonts w:ascii="Arial" w:hAnsi="Arial"/>
          <w:sz w:val="20"/>
          <w:lang w:val="de-DE" w:eastAsia="de-DE" w:bidi="de-DE"/>
        </w:rPr>
        <w:t>w. geschlossenem Brandschutzvorhang eine Selbst-Rettung im Totmann-Prinzip.</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Die entsprechende Notstromversorgung ist im Paket inkludiert.</w:t>
      </w:r>
    </w:p>
    <w:p w:rsidR="00A55657" w:rsidRDefault="00F053D1">
      <w:pPr>
        <w:keepNext/>
        <w:keepLines/>
        <w:spacing w:after="0" w:line="240" w:lineRule="auto"/>
        <w:ind w:left="1040" w:right="4000"/>
        <w:rPr>
          <w:rFonts w:ascii="Arial" w:eastAsia="Arial" w:hAnsi="Arial" w:cs="Arial"/>
          <w:b/>
          <w:color w:val="000000"/>
          <w:sz w:val="20"/>
          <w:lang w:val="de-DE" w:eastAsia="de-DE" w:bidi="de-DE"/>
        </w:rPr>
      </w:pPr>
      <w:r>
        <w:rPr>
          <w:rFonts w:ascii="Arial" w:hAnsi="Arial"/>
          <w:b/>
          <w:sz w:val="20"/>
          <w:lang w:val="de-DE" w:eastAsia="de-DE" w:bidi="de-DE"/>
        </w:rPr>
        <w:t> </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b/>
          <w:sz w:val="20"/>
          <w:lang w:val="de-DE" w:eastAsia="de-DE" w:bidi="de-DE"/>
        </w:rPr>
        <w:t xml:space="preserve">Gehäuseabmessungen: </w:t>
      </w:r>
      <w:r>
        <w:rPr>
          <w:rFonts w:ascii="Arial" w:hAnsi="Arial"/>
          <w:sz w:val="20"/>
          <w:lang w:val="de-DE" w:eastAsia="de-DE" w:bidi="de-DE"/>
        </w:rPr>
        <w:t>200x180 mm</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b/>
          <w:sz w:val="20"/>
          <w:lang w:val="de-DE" w:eastAsia="de-DE" w:bidi="de-DE"/>
        </w:rPr>
        <w:t xml:space="preserve">Schienenabmessungen: </w:t>
      </w:r>
      <w:r>
        <w:rPr>
          <w:rFonts w:ascii="Arial" w:hAnsi="Arial"/>
          <w:sz w:val="20"/>
          <w:lang w:val="de-DE" w:eastAsia="de-DE" w:bidi="de-DE"/>
        </w:rPr>
        <w:t>70x80 mm</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b/>
          <w:sz w:val="20"/>
          <w:lang w:val="de-DE" w:eastAsia="de-DE" w:bidi="de-DE"/>
        </w:rPr>
        <w:t>Max. Zulässiger Strahlungswert n. 90 Minuten</w:t>
      </w:r>
      <w:r>
        <w:rPr>
          <w:rFonts w:ascii="Arial" w:hAnsi="Arial"/>
          <w:sz w:val="20"/>
          <w:lang w:val="de-DE" w:eastAsia="de-DE" w:bidi="de-DE"/>
        </w:rPr>
        <w:t>: 1,5 kW/m²</w:t>
      </w:r>
    </w:p>
    <w:p w:rsidR="00A55657" w:rsidRDefault="00F053D1">
      <w:pPr>
        <w:keepNext/>
        <w:keepLines/>
        <w:spacing w:after="0" w:line="240" w:lineRule="auto"/>
        <w:ind w:left="1040" w:right="4000"/>
        <w:rPr>
          <w:rFonts w:ascii="Arial" w:eastAsia="Arial" w:hAnsi="Arial" w:cs="Arial"/>
          <w:b/>
          <w:color w:val="000000"/>
          <w:sz w:val="20"/>
          <w:lang w:val="de-DE" w:eastAsia="de-DE" w:bidi="de-DE"/>
        </w:rPr>
      </w:pPr>
      <w:r>
        <w:rPr>
          <w:rFonts w:ascii="Arial" w:hAnsi="Arial"/>
          <w:b/>
          <w:sz w:val="20"/>
          <w:lang w:val="de-DE" w:eastAsia="de-DE" w:bidi="de-DE"/>
        </w:rPr>
        <w:t> </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Als Äquivalent zum Schutzziel EI wird eine Klassifikation EW mit brandlastfreier Zone (30cm bis 100cm, je nach Schutzziel) vom Brandschutzplaner und Behörde freigegeben. Die erforderlichen Unterlagen sind für den Brandschutzplaner als Beilage anzufügen.</w:t>
      </w:r>
    </w:p>
    <w:p w:rsidR="00A55657" w:rsidRDefault="00F053D1">
      <w:pPr>
        <w:keepNext/>
        <w:keepLines/>
        <w:spacing w:after="0" w:line="240" w:lineRule="auto"/>
        <w:ind w:left="1040" w:right="4000"/>
        <w:rPr>
          <w:rFonts w:ascii="Arial" w:eastAsia="Arial" w:hAnsi="Arial" w:cs="Arial"/>
          <w:b/>
          <w:color w:val="000000"/>
          <w:sz w:val="20"/>
          <w:lang w:val="de-DE" w:eastAsia="de-DE" w:bidi="de-DE"/>
        </w:rPr>
      </w:pPr>
      <w:r>
        <w:rPr>
          <w:rFonts w:ascii="Arial" w:hAnsi="Arial"/>
          <w:b/>
          <w:sz w:val="20"/>
          <w:lang w:val="de-DE" w:eastAsia="de-DE" w:bidi="de-DE"/>
        </w:rPr>
        <w:t> </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b/>
          <w:sz w:val="20"/>
          <w:lang w:val="de-DE" w:eastAsia="de-DE" w:bidi="de-DE"/>
        </w:rPr>
        <w:t>Feuerwiderstandsklasse der gesamten Konstruktion nach EN13501-2</w:t>
      </w:r>
      <w:r>
        <w:rPr>
          <w:rFonts w:ascii="Arial" w:hAnsi="Arial"/>
          <w:sz w:val="20"/>
          <w:lang w:val="de-DE" w:eastAsia="de-DE" w:bidi="de-DE"/>
        </w:rPr>
        <w:t>: siehe unten</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CE-Kennzeichnung nach EN 16034 und/oder EN 13241</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lastRenderedPageBreak/>
        <w:t> </w:t>
      </w:r>
    </w:p>
    <w:p w:rsidR="00A55657" w:rsidRDefault="00F053D1">
      <w:pPr>
        <w:keepNext/>
        <w:keepLines/>
        <w:spacing w:after="0" w:line="240" w:lineRule="auto"/>
        <w:ind w:left="1040" w:right="4000"/>
        <w:rPr>
          <w:rFonts w:ascii="Arial" w:eastAsia="Arial" w:hAnsi="Arial" w:cs="Arial"/>
          <w:b/>
          <w:color w:val="000000"/>
          <w:sz w:val="20"/>
          <w:lang w:val="de-DE" w:eastAsia="de-DE" w:bidi="de-DE"/>
        </w:rPr>
      </w:pPr>
      <w:r>
        <w:rPr>
          <w:rFonts w:ascii="Arial" w:hAnsi="Arial"/>
          <w:b/>
          <w:sz w:val="20"/>
          <w:lang w:val="de-DE" w:eastAsia="de-DE" w:bidi="de-DE"/>
        </w:rPr>
        <w:t>Detailbereich:</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b/>
          <w:sz w:val="20"/>
          <w:lang w:val="de-DE" w:eastAsia="de-DE" w:bidi="de-DE"/>
        </w:rPr>
        <w:t>Mauerlichte (BxH):</w:t>
      </w:r>
      <w:r>
        <w:rPr>
          <w:rFonts w:ascii="Arial" w:hAnsi="Arial"/>
          <w:sz w:val="20"/>
          <w:lang w:val="de-DE" w:eastAsia="de-DE" w:bidi="de-DE"/>
        </w:rPr>
        <w:t xml:space="preserve"> ǀ__________ǀ mm</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b/>
          <w:sz w:val="20"/>
          <w:lang w:val="de-DE" w:eastAsia="de-DE" w:bidi="de-DE"/>
        </w:rPr>
        <w:t>Anwendungsbereich: </w:t>
      </w:r>
      <w:r>
        <w:rPr>
          <w:rFonts w:ascii="Arial" w:hAnsi="Arial"/>
          <w:sz w:val="20"/>
          <w:lang w:val="de-DE" w:eastAsia="de-DE" w:bidi="de-DE"/>
        </w:rPr>
        <w:t xml:space="preserve"> Innenanwendung</w:t>
      </w:r>
    </w:p>
    <w:p w:rsidR="00A55657" w:rsidRDefault="00F053D1">
      <w:pPr>
        <w:keepNext/>
        <w:keepLines/>
        <w:spacing w:after="0" w:line="240" w:lineRule="auto"/>
        <w:ind w:left="1040" w:right="4000"/>
        <w:rPr>
          <w:rFonts w:ascii="Arial" w:eastAsia="Arial" w:hAnsi="Arial" w:cs="Arial"/>
          <w:b/>
          <w:color w:val="000000"/>
          <w:sz w:val="20"/>
          <w:lang w:val="de-DE" w:eastAsia="de-DE" w:bidi="de-DE"/>
        </w:rPr>
      </w:pPr>
      <w:r>
        <w:rPr>
          <w:rFonts w:ascii="Arial" w:hAnsi="Arial"/>
          <w:b/>
          <w:sz w:val="20"/>
          <w:lang w:val="de-DE" w:eastAsia="de-DE" w:bidi="de-DE"/>
        </w:rPr>
        <w:t> </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b/>
          <w:sz w:val="20"/>
          <w:lang w:val="de-DE" w:eastAsia="de-DE" w:bidi="de-DE"/>
        </w:rPr>
        <w:t>Farbbeschichtung Zarge &amp; Kasten:</w:t>
      </w:r>
      <w:r>
        <w:rPr>
          <w:rFonts w:ascii="Arial" w:hAnsi="Arial"/>
          <w:sz w:val="20"/>
          <w:lang w:val="de-DE" w:eastAsia="de-DE" w:bidi="de-DE"/>
        </w:rPr>
        <w:t xml:space="preserve"> ǀ</w:t>
      </w:r>
      <w:r>
        <w:rPr>
          <w:rFonts w:ascii="Arial" w:hAnsi="Arial"/>
          <w:sz w:val="20"/>
          <w:lang w:val="de-DE" w:eastAsia="de-DE" w:bidi="de-DE"/>
        </w:rPr>
        <w:t>__________ǀ RAL</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b/>
          <w:sz w:val="20"/>
          <w:lang w:val="de-DE" w:eastAsia="de-DE" w:bidi="de-DE"/>
        </w:rPr>
        <w:t>Brandschutzqualifikation</w:t>
      </w:r>
      <w:r>
        <w:rPr>
          <w:rFonts w:ascii="Arial" w:hAnsi="Arial"/>
          <w:sz w:val="20"/>
          <w:lang w:val="de-DE" w:eastAsia="de-DE" w:bidi="de-DE"/>
        </w:rPr>
        <w:t>: EW90-C</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b/>
          <w:sz w:val="20"/>
          <w:lang w:val="de-DE" w:eastAsia="de-DE" w:bidi="de-DE"/>
        </w:rPr>
        <w:t xml:space="preserve">Rauchschutz </w:t>
      </w:r>
      <w:r>
        <w:rPr>
          <w:rFonts w:ascii="Arial" w:hAnsi="Arial"/>
          <w:sz w:val="20"/>
          <w:lang w:val="de-DE" w:eastAsia="de-DE" w:bidi="de-DE"/>
        </w:rPr>
        <w:t>[ohne, Sa bzw. S200]: ǀ__________ǀ</w:t>
      </w:r>
    </w:p>
    <w:p w:rsidR="00A55657" w:rsidRDefault="00F053D1">
      <w:pPr>
        <w:keepNext/>
        <w:keepLines/>
        <w:spacing w:after="0" w:line="240" w:lineRule="auto"/>
        <w:ind w:left="1040" w:right="4000"/>
        <w:rPr>
          <w:rFonts w:ascii="Arial" w:eastAsia="Arial" w:hAnsi="Arial" w:cs="Arial"/>
          <w:b/>
          <w:color w:val="000000"/>
          <w:sz w:val="20"/>
          <w:lang w:val="de-DE" w:eastAsia="de-DE" w:bidi="de-DE"/>
        </w:rPr>
      </w:pPr>
      <w:r>
        <w:rPr>
          <w:rFonts w:ascii="Arial" w:hAnsi="Arial"/>
          <w:b/>
          <w:sz w:val="20"/>
          <w:lang w:val="de-DE" w:eastAsia="de-DE" w:bidi="de-DE"/>
        </w:rPr>
        <w:t> </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xml:space="preserve">z.B. </w:t>
      </w:r>
      <w:r>
        <w:rPr>
          <w:rFonts w:ascii="Arial" w:hAnsi="Arial"/>
          <w:b/>
          <w:sz w:val="20"/>
          <w:lang w:val="de-DE" w:eastAsia="de-DE" w:bidi="de-DE"/>
        </w:rPr>
        <w:t>PENEDERdoorpack "textiler Brandschutz vor Lift"</w:t>
      </w:r>
      <w:r>
        <w:rPr>
          <w:rFonts w:ascii="Arial" w:hAnsi="Arial"/>
          <w:sz w:val="20"/>
          <w:lang w:val="de-DE" w:eastAsia="de-DE" w:bidi="de-DE"/>
        </w:rPr>
        <w:t>, oder Gleichwertiges</w:t>
      </w:r>
    </w:p>
    <w:p w:rsidR="00A55657" w:rsidRDefault="00F053D1">
      <w:pPr>
        <w:keepNext/>
        <w:keepLines/>
        <w:spacing w:after="0" w:line="240" w:lineRule="auto"/>
        <w:ind w:left="1040" w:right="4000"/>
        <w:rPr>
          <w:rFonts w:ascii="Arial" w:eastAsia="Arial" w:hAnsi="Arial" w:cs="Arial"/>
          <w:color w:val="000000"/>
          <w:sz w:val="20"/>
          <w:lang w:val="de-DE" w:eastAsia="de-DE" w:bidi="de-DE"/>
        </w:rPr>
      </w:pPr>
      <w:r>
        <w:rPr>
          <w:rFonts w:ascii="Arial" w:hAnsi="Arial"/>
          <w:sz w:val="20"/>
          <w:lang w:val="de-DE" w:eastAsia="de-DE" w:bidi="de-DE"/>
        </w:rPr>
        <w:t> </w:t>
      </w:r>
    </w:p>
    <w:p w:rsidR="00A55657" w:rsidRDefault="00F053D1">
      <w:pPr>
        <w:keepNext/>
        <w:keepLines/>
        <w:spacing w:after="0" w:line="240" w:lineRule="auto"/>
        <w:ind w:left="1040"/>
        <w:rPr>
          <w:rFonts w:ascii="Arial" w:eastAsia="Arial" w:hAnsi="Arial" w:cs="Arial"/>
          <w:color w:val="000000"/>
          <w:sz w:val="20"/>
          <w:lang w:val="de-DE" w:eastAsia="de-DE" w:bidi="de-DE"/>
        </w:rPr>
      </w:pPr>
      <w:r>
        <w:rPr>
          <w:rFonts w:ascii="Arial" w:hAnsi="Arial"/>
          <w:sz w:val="20"/>
          <w:lang w:val="de-DE" w:eastAsia="de-DE" w:bidi="de-DE"/>
        </w:rPr>
        <w:t>Angebotenes Erzeugnis: '.........'</w:t>
      </w:r>
      <w:r>
        <w:rPr>
          <w:rFonts w:ascii="Arial" w:eastAsia="Arial" w:hAnsi="Arial" w:cs="Arial"/>
          <w:sz w:val="20"/>
        </w:rPr>
        <w:br/>
      </w:r>
    </w:p>
    <w:tbl>
      <w:tblPr>
        <w:tblW w:w="6700" w:type="dxa"/>
        <w:jc w:val="right"/>
        <w:tblLayout w:type="fixed"/>
        <w:tblCellMar>
          <w:left w:w="10" w:type="dxa"/>
          <w:right w:w="10" w:type="dxa"/>
        </w:tblCellMar>
        <w:tblLook w:val="04A0" w:firstRow="1" w:lastRow="0" w:firstColumn="1" w:lastColumn="0" w:noHBand="0" w:noVBand="1"/>
      </w:tblPr>
      <w:tblGrid>
        <w:gridCol w:w="1651"/>
        <w:gridCol w:w="583"/>
        <w:gridCol w:w="1650"/>
        <w:gridCol w:w="583"/>
        <w:gridCol w:w="1650"/>
        <w:gridCol w:w="583"/>
      </w:tblGrid>
      <w:tr w:rsidR="00A55657">
        <w:tblPrEx>
          <w:tblCellMar>
            <w:top w:w="0" w:type="dxa"/>
            <w:bottom w:w="0" w:type="dxa"/>
          </w:tblCellMar>
        </w:tblPrEx>
        <w:trPr>
          <w:jc w:val="right"/>
        </w:trPr>
        <w:tc>
          <w:tcPr>
            <w:tcW w:w="1700" w:type="dxa"/>
            <w:tcMar>
              <w:top w:w="100" w:type="dxa"/>
              <w:bottom w:w="200" w:type="dxa"/>
            </w:tcMar>
            <w:vAlign w:val="center"/>
          </w:tcPr>
          <w:tbl>
            <w:tblPr>
              <w:tblW w:w="1700" w:type="dxa"/>
              <w:tblLayout w:type="fixed"/>
              <w:tblCellMar>
                <w:left w:w="10" w:type="dxa"/>
                <w:right w:w="10" w:type="dxa"/>
              </w:tblCellMar>
              <w:tblLook w:val="04A0" w:firstRow="1" w:lastRow="0" w:firstColumn="1" w:lastColumn="0" w:noHBand="0" w:noVBand="1"/>
            </w:tblPr>
            <w:tblGrid>
              <w:gridCol w:w="935"/>
              <w:gridCol w:w="765"/>
            </w:tblGrid>
            <w:tr w:rsidR="00A55657">
              <w:tblPrEx>
                <w:tblCellMar>
                  <w:top w:w="0" w:type="dxa"/>
                  <w:bottom w:w="0" w:type="dxa"/>
                </w:tblCellMar>
              </w:tblPrEx>
              <w:tc>
                <w:tcPr>
                  <w:tcW w:w="880" w:type="dxa"/>
                </w:tcPr>
                <w:p w:rsidR="00A55657" w:rsidRDefault="00F053D1">
                  <w:pPr>
                    <w:keepNext/>
                    <w:keepLines/>
                    <w:spacing w:after="0" w:line="240" w:lineRule="auto"/>
                    <w:rPr>
                      <w:rFonts w:ascii="Arial" w:eastAsia="Arial" w:hAnsi="Arial" w:cs="Arial"/>
                      <w:b/>
                      <w:color w:val="000000"/>
                      <w:sz w:val="18"/>
                      <w:lang w:val="de-DE" w:eastAsia="de-DE" w:bidi="de-DE"/>
                    </w:rPr>
                  </w:pPr>
                  <w:r>
                    <w:rPr>
                      <w:rFonts w:ascii="Arial" w:hAnsi="Arial"/>
                      <w:b/>
                      <w:sz w:val="18"/>
                      <w:lang w:val="de-DE" w:eastAsia="de-DE" w:bidi="de-DE"/>
                    </w:rPr>
                    <w:t>Menge:</w:t>
                  </w:r>
                </w:p>
              </w:tc>
              <w:tc>
                <w:tcPr>
                  <w:tcW w:w="720" w:type="dxa"/>
                  <w:tcBorders>
                    <w:bottom w:val="dotted" w:sz="13" w:space="0" w:color="000000"/>
                  </w:tcBorders>
                </w:tcPr>
                <w:p w:rsidR="00A55657" w:rsidRDefault="00A55657">
                  <w:pPr>
                    <w:keepNext/>
                    <w:keepLines/>
                    <w:spacing w:after="0" w:line="240" w:lineRule="auto"/>
                    <w:rPr>
                      <w:rFonts w:ascii="Arial" w:eastAsia="Arial" w:hAnsi="Arial" w:cs="Arial"/>
                      <w:color w:val="000000"/>
                      <w:sz w:val="18"/>
                      <w:lang w:val="de-DE" w:eastAsia="de-DE" w:bidi="de-DE"/>
                    </w:rPr>
                  </w:pPr>
                </w:p>
              </w:tc>
            </w:tr>
          </w:tbl>
          <w:p w:rsidR="00A55657" w:rsidRDefault="00A55657">
            <w:pPr>
              <w:spacing w:line="240" w:lineRule="auto"/>
            </w:pPr>
          </w:p>
        </w:tc>
        <w:tc>
          <w:tcPr>
            <w:tcW w:w="600" w:type="dxa"/>
            <w:tcMar>
              <w:top w:w="100" w:type="dxa"/>
              <w:bottom w:w="200" w:type="dxa"/>
            </w:tcMar>
            <w:vAlign w:val="center"/>
          </w:tcPr>
          <w:p w:rsidR="00A55657" w:rsidRDefault="00F053D1">
            <w:pPr>
              <w:keepNext/>
              <w:keepLines/>
              <w:spacing w:after="0" w:line="240" w:lineRule="auto"/>
              <w:rPr>
                <w:rFonts w:ascii="Arial" w:eastAsia="Arial" w:hAnsi="Arial" w:cs="Arial"/>
                <w:color w:val="000000"/>
                <w:sz w:val="18"/>
                <w:lang w:val="de-DE" w:eastAsia="de-DE" w:bidi="de-DE"/>
              </w:rPr>
            </w:pPr>
            <w:r>
              <w:rPr>
                <w:rFonts w:ascii="Arial" w:hAnsi="Arial"/>
                <w:sz w:val="18"/>
                <w:lang w:val="de-DE" w:eastAsia="de-DE" w:bidi="de-DE"/>
              </w:rPr>
              <w:t>psch</w:t>
            </w:r>
          </w:p>
        </w:tc>
        <w:tc>
          <w:tcPr>
            <w:tcW w:w="1700" w:type="dxa"/>
            <w:tcMar>
              <w:top w:w="100" w:type="dxa"/>
              <w:bottom w:w="200" w:type="dxa"/>
            </w:tcMar>
            <w:vAlign w:val="center"/>
          </w:tcPr>
          <w:tbl>
            <w:tblPr>
              <w:tblW w:w="1700" w:type="dxa"/>
              <w:tblLayout w:type="fixed"/>
              <w:tblCellMar>
                <w:left w:w="10" w:type="dxa"/>
                <w:right w:w="10" w:type="dxa"/>
              </w:tblCellMar>
              <w:tblLook w:val="04A0" w:firstRow="1" w:lastRow="0" w:firstColumn="1" w:lastColumn="0" w:noHBand="0" w:noVBand="1"/>
            </w:tblPr>
            <w:tblGrid>
              <w:gridCol w:w="600"/>
              <w:gridCol w:w="1100"/>
            </w:tblGrid>
            <w:tr w:rsidR="00A55657">
              <w:tblPrEx>
                <w:tblCellMar>
                  <w:top w:w="0" w:type="dxa"/>
                  <w:bottom w:w="0" w:type="dxa"/>
                </w:tblCellMar>
              </w:tblPrEx>
              <w:tc>
                <w:tcPr>
                  <w:tcW w:w="600" w:type="dxa"/>
                </w:tcPr>
                <w:p w:rsidR="00A55657" w:rsidRDefault="00F053D1">
                  <w:pPr>
                    <w:keepNext/>
                    <w:keepLines/>
                    <w:spacing w:after="0" w:line="240" w:lineRule="auto"/>
                    <w:rPr>
                      <w:rFonts w:ascii="Arial" w:eastAsia="Arial" w:hAnsi="Arial" w:cs="Arial"/>
                      <w:b/>
                      <w:color w:val="000000"/>
                      <w:sz w:val="18"/>
                      <w:lang w:val="de-DE" w:eastAsia="de-DE" w:bidi="de-DE"/>
                    </w:rPr>
                  </w:pPr>
                  <w:r>
                    <w:rPr>
                      <w:rFonts w:ascii="Arial" w:hAnsi="Arial"/>
                      <w:b/>
                      <w:sz w:val="18"/>
                      <w:lang w:val="de-DE" w:eastAsia="de-DE" w:bidi="de-DE"/>
                    </w:rPr>
                    <w:t>Preis:</w:t>
                  </w:r>
                </w:p>
              </w:tc>
              <w:tc>
                <w:tcPr>
                  <w:tcW w:w="1100" w:type="dxa"/>
                  <w:tcBorders>
                    <w:bottom w:val="dotted" w:sz="13" w:space="0" w:color="000000"/>
                  </w:tcBorders>
                </w:tcPr>
                <w:p w:rsidR="00A55657" w:rsidRDefault="00A55657">
                  <w:pPr>
                    <w:keepNext/>
                    <w:keepLines/>
                    <w:spacing w:after="0" w:line="240" w:lineRule="auto"/>
                    <w:rPr>
                      <w:rFonts w:ascii="Arial" w:eastAsia="Arial" w:hAnsi="Arial" w:cs="Arial"/>
                      <w:color w:val="000000"/>
                      <w:sz w:val="18"/>
                      <w:lang w:val="de-DE" w:eastAsia="de-DE" w:bidi="de-DE"/>
                    </w:rPr>
                  </w:pPr>
                </w:p>
              </w:tc>
            </w:tr>
          </w:tbl>
          <w:p w:rsidR="00A55657" w:rsidRDefault="00A55657">
            <w:pPr>
              <w:spacing w:line="240" w:lineRule="auto"/>
            </w:pPr>
          </w:p>
        </w:tc>
        <w:tc>
          <w:tcPr>
            <w:tcW w:w="600" w:type="dxa"/>
            <w:tcMar>
              <w:top w:w="100" w:type="dxa"/>
              <w:bottom w:w="200" w:type="dxa"/>
            </w:tcMar>
            <w:vAlign w:val="center"/>
          </w:tcPr>
          <w:p w:rsidR="00A55657" w:rsidRDefault="00F053D1">
            <w:pPr>
              <w:keepNext/>
              <w:keepLines/>
              <w:spacing w:after="0" w:line="240" w:lineRule="auto"/>
              <w:rPr>
                <w:rFonts w:ascii="Arial" w:eastAsia="Arial" w:hAnsi="Arial" w:cs="Arial"/>
                <w:color w:val="000000"/>
                <w:sz w:val="18"/>
                <w:lang w:val="de-DE" w:eastAsia="de-DE" w:bidi="de-DE"/>
              </w:rPr>
            </w:pPr>
            <w:r>
              <w:rPr>
                <w:rFonts w:ascii="Arial" w:hAnsi="Arial"/>
                <w:sz w:val="18"/>
                <w:lang w:val="de-DE" w:eastAsia="de-DE" w:bidi="de-DE"/>
              </w:rPr>
              <w:t>€</w:t>
            </w:r>
          </w:p>
        </w:tc>
        <w:tc>
          <w:tcPr>
            <w:tcW w:w="1700" w:type="dxa"/>
            <w:tcMar>
              <w:top w:w="100" w:type="dxa"/>
              <w:bottom w:w="200" w:type="dxa"/>
            </w:tcMar>
            <w:vAlign w:val="center"/>
          </w:tcPr>
          <w:tbl>
            <w:tblPr>
              <w:tblW w:w="1700" w:type="dxa"/>
              <w:tblLayout w:type="fixed"/>
              <w:tblCellMar>
                <w:left w:w="10" w:type="dxa"/>
                <w:right w:w="10" w:type="dxa"/>
              </w:tblCellMar>
              <w:tblLook w:val="04A0" w:firstRow="1" w:lastRow="0" w:firstColumn="1" w:lastColumn="0" w:noHBand="0" w:noVBand="1"/>
            </w:tblPr>
            <w:tblGrid>
              <w:gridCol w:w="600"/>
              <w:gridCol w:w="1100"/>
            </w:tblGrid>
            <w:tr w:rsidR="00A55657">
              <w:tblPrEx>
                <w:tblCellMar>
                  <w:top w:w="0" w:type="dxa"/>
                  <w:bottom w:w="0" w:type="dxa"/>
                </w:tblCellMar>
              </w:tblPrEx>
              <w:tc>
                <w:tcPr>
                  <w:tcW w:w="600" w:type="dxa"/>
                </w:tcPr>
                <w:p w:rsidR="00A55657" w:rsidRDefault="00F053D1">
                  <w:pPr>
                    <w:keepNext/>
                    <w:keepLines/>
                    <w:spacing w:after="0" w:line="240" w:lineRule="auto"/>
                    <w:rPr>
                      <w:rFonts w:ascii="Arial" w:eastAsia="Arial" w:hAnsi="Arial" w:cs="Arial"/>
                      <w:b/>
                      <w:color w:val="000000"/>
                      <w:sz w:val="18"/>
                      <w:lang w:val="de-DE" w:eastAsia="de-DE" w:bidi="de-DE"/>
                    </w:rPr>
                  </w:pPr>
                  <w:r>
                    <w:rPr>
                      <w:rFonts w:ascii="Arial" w:hAnsi="Arial"/>
                      <w:b/>
                      <w:sz w:val="18"/>
                      <w:lang w:val="de-DE" w:eastAsia="de-DE" w:bidi="de-DE"/>
                    </w:rPr>
                    <w:t>GP:</w:t>
                  </w:r>
                </w:p>
              </w:tc>
              <w:tc>
                <w:tcPr>
                  <w:tcW w:w="1100" w:type="dxa"/>
                  <w:tcBorders>
                    <w:bottom w:val="dotted" w:sz="13" w:space="0" w:color="000000"/>
                  </w:tcBorders>
                </w:tcPr>
                <w:p w:rsidR="00A55657" w:rsidRDefault="00A55657">
                  <w:pPr>
                    <w:keepNext/>
                    <w:keepLines/>
                    <w:spacing w:after="0" w:line="240" w:lineRule="auto"/>
                    <w:rPr>
                      <w:rFonts w:ascii="Arial" w:eastAsia="Arial" w:hAnsi="Arial" w:cs="Arial"/>
                      <w:color w:val="000000"/>
                      <w:sz w:val="18"/>
                      <w:lang w:val="de-DE" w:eastAsia="de-DE" w:bidi="de-DE"/>
                    </w:rPr>
                  </w:pPr>
                </w:p>
              </w:tc>
            </w:tr>
          </w:tbl>
          <w:p w:rsidR="00A55657" w:rsidRDefault="00A55657">
            <w:pPr>
              <w:spacing w:line="240" w:lineRule="auto"/>
            </w:pPr>
          </w:p>
        </w:tc>
        <w:tc>
          <w:tcPr>
            <w:tcW w:w="600" w:type="dxa"/>
            <w:tcMar>
              <w:top w:w="100" w:type="dxa"/>
              <w:bottom w:w="200" w:type="dxa"/>
            </w:tcMar>
            <w:vAlign w:val="center"/>
          </w:tcPr>
          <w:p w:rsidR="00A55657" w:rsidRDefault="00F053D1">
            <w:pPr>
              <w:keepNext/>
              <w:keepLines/>
              <w:spacing w:after="0" w:line="240" w:lineRule="auto"/>
              <w:rPr>
                <w:rFonts w:ascii="Arial" w:eastAsia="Arial" w:hAnsi="Arial" w:cs="Arial"/>
                <w:color w:val="000000"/>
                <w:sz w:val="18"/>
                <w:lang w:val="de-DE" w:eastAsia="de-DE" w:bidi="de-DE"/>
              </w:rPr>
            </w:pPr>
            <w:r>
              <w:rPr>
                <w:rFonts w:ascii="Arial" w:hAnsi="Arial"/>
                <w:sz w:val="18"/>
                <w:lang w:val="de-DE" w:eastAsia="de-DE" w:bidi="de-DE"/>
              </w:rPr>
              <w:t>€</w:t>
            </w:r>
          </w:p>
        </w:tc>
      </w:tr>
    </w:tbl>
    <w:p w:rsidR="00000000" w:rsidRDefault="00F053D1"/>
    <w:sectPr w:rsidR="00000000">
      <w:headerReference w:type="default" r:id="rId7"/>
      <w:pgSz w:w="12240" w:h="15840"/>
      <w:pgMar w:top="1134" w:right="1134" w:bottom="1134" w:left="1134"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F053D1">
      <w:pPr>
        <w:spacing w:after="0" w:line="240" w:lineRule="auto"/>
      </w:pPr>
      <w:r>
        <w:separator/>
      </w:r>
    </w:p>
  </w:endnote>
  <w:endnote w:type="continuationSeparator" w:id="0">
    <w:p w:rsidR="00000000" w:rsidRDefault="00F05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F053D1">
      <w:pPr>
        <w:spacing w:after="0" w:line="240" w:lineRule="auto"/>
      </w:pPr>
      <w:r>
        <w:separator/>
      </w:r>
    </w:p>
  </w:footnote>
  <w:footnote w:type="continuationSeparator" w:id="0">
    <w:p w:rsidR="00000000" w:rsidRDefault="00F053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80" w:type="dxa"/>
      <w:tblBorders>
        <w:bottom w:val="single" w:sz="6" w:space="0" w:color="000000"/>
      </w:tblBorders>
      <w:tblLayout w:type="fixed"/>
      <w:tblCellMar>
        <w:left w:w="10" w:type="dxa"/>
        <w:right w:w="10" w:type="dxa"/>
      </w:tblCellMar>
      <w:tblLook w:val="04A0" w:firstRow="1" w:lastRow="0" w:firstColumn="1" w:lastColumn="0" w:noHBand="0" w:noVBand="1"/>
    </w:tblPr>
    <w:tblGrid>
      <w:gridCol w:w="3240"/>
      <w:gridCol w:w="3200"/>
      <w:gridCol w:w="3240"/>
    </w:tblGrid>
    <w:tr w:rsidR="00A55657">
      <w:tblPrEx>
        <w:tblCellMar>
          <w:top w:w="0" w:type="dxa"/>
          <w:bottom w:w="0" w:type="dxa"/>
        </w:tblCellMar>
      </w:tblPrEx>
      <w:tc>
        <w:tcPr>
          <w:tcW w:w="3240" w:type="dxa"/>
          <w:tcMar>
            <w:top w:w="567" w:type="dxa"/>
            <w:bottom w:w="0" w:type="dxa"/>
          </w:tcMar>
          <w:vAlign w:val="center"/>
        </w:tcPr>
        <w:p w:rsidR="00A55657" w:rsidRDefault="00F053D1">
          <w:pPr>
            <w:keepNext/>
            <w:keepLines/>
            <w:spacing w:after="0" w:line="240" w:lineRule="auto"/>
            <w:rPr>
              <w:rFonts w:ascii="Arial" w:eastAsia="Arial" w:hAnsi="Arial" w:cs="Arial"/>
              <w:color w:val="000000"/>
              <w:sz w:val="18"/>
              <w:lang w:val="de-DE" w:eastAsia="de-DE" w:bidi="de-DE"/>
            </w:rPr>
          </w:pPr>
          <w:r>
            <w:rPr>
              <w:rFonts w:ascii="Arial" w:hAnsi="Arial"/>
              <w:sz w:val="18"/>
              <w:lang w:val="de-DE" w:eastAsia="de-DE" w:bidi="de-DE"/>
            </w:rPr>
            <w:t>AUSSCHREIBEN.DE</w:t>
          </w:r>
        </w:p>
      </w:tc>
      <w:tc>
        <w:tcPr>
          <w:tcW w:w="3200" w:type="dxa"/>
          <w:tcMar>
            <w:top w:w="567" w:type="dxa"/>
            <w:bottom w:w="0" w:type="dxa"/>
          </w:tcMar>
          <w:vAlign w:val="center"/>
        </w:tcPr>
        <w:p w:rsidR="00A55657" w:rsidRDefault="00F053D1">
          <w:pPr>
            <w:keepNext/>
            <w:keepLines/>
            <w:spacing w:after="0" w:line="240" w:lineRule="auto"/>
            <w:jc w:val="center"/>
            <w:rPr>
              <w:rFonts w:ascii="Arial" w:eastAsia="Arial" w:hAnsi="Arial" w:cs="Arial"/>
              <w:color w:val="000000"/>
              <w:sz w:val="18"/>
              <w:lang w:val="de-DE" w:eastAsia="de-DE" w:bidi="de-DE"/>
            </w:rPr>
          </w:pPr>
          <w:r>
            <w:rPr>
              <w:rFonts w:ascii="Arial" w:hAnsi="Arial"/>
              <w:sz w:val="18"/>
              <w:lang w:val="de-DE" w:eastAsia="de-DE" w:bidi="de-DE"/>
            </w:rPr>
            <w:t xml:space="preserve">- </w:t>
          </w:r>
          <w:r>
            <w:rPr>
              <w:rFonts w:ascii="Arial" w:hAnsi="Arial"/>
              <w:sz w:val="18"/>
              <w:lang w:val="de-DE" w:eastAsia="de-DE" w:bidi="de-DE"/>
            </w:rPr>
            <w:pgNum/>
          </w:r>
          <w:r>
            <w:rPr>
              <w:rFonts w:ascii="Arial" w:hAnsi="Arial"/>
              <w:sz w:val="18"/>
              <w:lang w:val="de-DE" w:eastAsia="de-DE" w:bidi="de-DE"/>
            </w:rPr>
            <w:t xml:space="preserve"> -</w:t>
          </w:r>
        </w:p>
      </w:tc>
      <w:tc>
        <w:tcPr>
          <w:tcW w:w="3240" w:type="dxa"/>
          <w:tcMar>
            <w:top w:w="567" w:type="dxa"/>
            <w:bottom w:w="0" w:type="dxa"/>
          </w:tcMar>
          <w:vAlign w:val="center"/>
        </w:tcPr>
        <w:p w:rsidR="00A55657" w:rsidRDefault="00F053D1">
          <w:pPr>
            <w:keepNext/>
            <w:keepLines/>
            <w:spacing w:after="0" w:line="240" w:lineRule="auto"/>
            <w:jc w:val="right"/>
            <w:rPr>
              <w:rFonts w:ascii="Arial" w:eastAsia="Arial" w:hAnsi="Arial" w:cs="Arial"/>
              <w:color w:val="000000"/>
              <w:sz w:val="18"/>
              <w:lang w:val="de-DE" w:eastAsia="de-DE" w:bidi="de-DE"/>
            </w:rPr>
          </w:pPr>
          <w:r>
            <w:rPr>
              <w:rFonts w:ascii="Arial" w:hAnsi="Arial"/>
              <w:sz w:val="18"/>
              <w:lang w:val="de-DE" w:eastAsia="de-DE" w:bidi="de-DE"/>
            </w:rPr>
            <w:t>25.09.2024</w:t>
          </w: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657"/>
    <w:rsid w:val="00A55657"/>
    <w:rsid w:val="00F053D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AB4C84-D2E1-4612-986B-8877E71D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634</Words>
  <Characters>3997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Peneder</Company>
  <LinksUpToDate>false</LinksUpToDate>
  <CharactersWithSpaces>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Hinterleitner Klaus</dc:creator>
  <cp:lastModifiedBy>Hinterleitner Klaus</cp:lastModifiedBy>
  <cp:revision>2</cp:revision>
  <dcterms:created xsi:type="dcterms:W3CDTF">2024-09-25T09:42:00Z</dcterms:created>
  <dcterms:modified xsi:type="dcterms:W3CDTF">2024-09-25T09:42:00Z</dcterms:modified>
</cp:coreProperties>
</file>